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在宅で活用できる認知症セルフチェックリスト</w:t>
      </w:r>
    </w:p>
    <w:p>
      <w:r>
        <w:t>― 家族が気づく「小さな変化」を見逃さないために ―</w:t>
      </w:r>
    </w:p>
    <w:p>
      <w:r>
        <w:t>「最近、おばあちゃんが同じ話を何度も繰り返すのよ。前はそんなことなかったのに…」</w:t>
        <w:br/>
        <w:t>介護の現場や家族から、そんな声を耳にすることは少なくありません。私が関わったあるご家庭でも、最初は「年のせいかな」と軽く考えていたそうです。ところが、財布をどこに置いたか忘れて探し回ったり、料理の味つけを間違えることが増え、家族が不安を抱くようになりました。</w:t>
        <w:br/>
        <w:br/>
        <w:t>認知症は早期に気づき、医療や介護のサポートにつなげることがとても大切です。しかし「病院に行くほどではないのでは」と迷うご家族も多いのが現実です。そんなときに役立つのが、自宅でできるセルフチェックリストです。</w:t>
        <w:br/>
        <w:br/>
        <w:t>この記事では、介護関係者やご家族が在宅で使える認知症セルフチェックのポイントを、分かりやすくまとめました。</w:t>
      </w:r>
    </w:p>
    <w:p>
      <w:pPr>
        <w:pStyle w:val="Heading1"/>
      </w:pPr>
      <w:r>
        <w:t>1. なぜセルフチェックが大切なのか</w:t>
      </w:r>
    </w:p>
    <w:p>
      <w:r>
        <w:t>認知症は進行性の病気です。しかし早期に気づき、医師の診断やサポートを受けることで、生活の質を保ちながら過ごせる期間を長くすることができます。</w:t>
        <w:br/>
        <w:br/>
        <w:t>とくに初期段階では「物忘れが多いだけ」「年齢のせい」と思われがちです。そのため受診が遅れてしまうことが少なくありません。</w:t>
        <w:br/>
        <w:br/>
        <w:t>早期発見が大切な理由:</w:t>
        <w:br/>
        <w:t>・治療薬の効果を発揮できるのは、早期の段階であることが多い</w:t>
        <w:br/>
        <w:t>・リハビリや生活習慣の工夫によって進行をゆるやかにできる</w:t>
        <w:br/>
        <w:t>・ご本人が自分の意思で将来の生活を考え、準備できる時間を持てる</w:t>
        <w:br/>
        <w:t>・家族が介護の体制や支援サービスを早めに整えられる</w:t>
        <w:br/>
        <w:t>・本人・家族ともに安心材料を得て、不安を軽減できる</w:t>
        <w:br/>
        <w:br/>
        <w:t>セルフチェックリストは、あくまでも「気づきのきっかけ」にすぎません。</w:t>
      </w:r>
    </w:p>
    <w:p>
      <w:pPr>
        <w:pStyle w:val="Heading1"/>
      </w:pPr>
      <w:r>
        <w:t>2. 在宅で使えるセルフチェックリスト</w:t>
      </w:r>
    </w:p>
    <w:p>
      <w:pPr>
        <w:pStyle w:val="Heading2"/>
      </w:pPr>
      <w:r>
        <w:t>（1）記憶に関するサイン</w:t>
      </w:r>
    </w:p>
    <w:tbl>
      <w:tblPr>
        <w:tblStyle w:val="TableGrid"/>
        <w:tblW w:type="auto" w:w="0"/>
        <w:tblLook w:firstColumn="1" w:firstRow="1" w:lastColumn="0" w:lastRow="0" w:noHBand="0" w:noVBand="1" w:val="04A0"/>
      </w:tblPr>
      <w:tblGrid>
        <w:gridCol w:w="4320"/>
        <w:gridCol w:w="4320"/>
      </w:tblGrid>
      <w:tr>
        <w:tc>
          <w:tcPr>
            <w:tcW w:type="dxa" w:w="4320"/>
          </w:tcPr>
          <w:p>
            <w:r>
              <w:t>□</w:t>
            </w:r>
          </w:p>
        </w:tc>
        <w:tc>
          <w:tcPr>
            <w:tcW w:type="dxa" w:w="4320"/>
          </w:tcPr>
          <w:p>
            <w:r>
              <w:t>同じことを何度も尋ねる</w:t>
            </w:r>
          </w:p>
        </w:tc>
      </w:tr>
      <w:tr>
        <w:tc>
          <w:tcPr>
            <w:tcW w:type="dxa" w:w="4320"/>
          </w:tcPr>
          <w:p>
            <w:r>
              <w:t>□</w:t>
            </w:r>
          </w:p>
        </w:tc>
        <w:tc>
          <w:tcPr>
            <w:tcW w:type="dxa" w:w="4320"/>
          </w:tcPr>
          <w:p>
            <w:r>
              <w:t>ついさっきの会話や出来事を思い出せない</w:t>
            </w:r>
          </w:p>
        </w:tc>
      </w:tr>
      <w:tr>
        <w:tc>
          <w:tcPr>
            <w:tcW w:type="dxa" w:w="4320"/>
          </w:tcPr>
          <w:p>
            <w:r>
              <w:t>□</w:t>
            </w:r>
          </w:p>
        </w:tc>
        <w:tc>
          <w:tcPr>
            <w:tcW w:type="dxa" w:w="4320"/>
          </w:tcPr>
          <w:p>
            <w:r>
              <w:t>大切な物をどこに置いたか忘れることが増える</w:t>
            </w:r>
          </w:p>
        </w:tc>
      </w:tr>
      <w:tr>
        <w:tc>
          <w:tcPr>
            <w:tcW w:type="dxa" w:w="4320"/>
          </w:tcPr>
          <w:p>
            <w:r>
              <w:t>□</w:t>
            </w:r>
          </w:p>
        </w:tc>
        <w:tc>
          <w:tcPr>
            <w:tcW w:type="dxa" w:w="4320"/>
          </w:tcPr>
          <w:p>
            <w:r>
              <w:t>予定を忘れて約束を守れない</w:t>
            </w:r>
          </w:p>
        </w:tc>
      </w:tr>
      <w:tr>
        <w:tc>
          <w:tcPr>
            <w:tcW w:type="dxa" w:w="4320"/>
          </w:tcPr>
          <w:p/>
        </w:tc>
        <w:tc>
          <w:tcPr>
            <w:tcW w:type="dxa" w:w="4320"/>
          </w:tcPr>
          <w:p/>
        </w:tc>
      </w:tr>
    </w:tbl>
    <w:p>
      <w:pPr>
        <w:pStyle w:val="Heading2"/>
      </w:pPr>
      <w:r>
        <w:t>（2）判断力や理解力に関するサイン</w:t>
      </w:r>
    </w:p>
    <w:tbl>
      <w:tblPr>
        <w:tblStyle w:val="TableGrid"/>
        <w:tblW w:type="auto" w:w="0"/>
        <w:tblLook w:firstColumn="1" w:firstRow="1" w:lastColumn="0" w:lastRow="0" w:noHBand="0" w:noVBand="1" w:val="04A0"/>
      </w:tblPr>
      <w:tblGrid>
        <w:gridCol w:w="4320"/>
        <w:gridCol w:w="4320"/>
      </w:tblGrid>
      <w:tr>
        <w:tc>
          <w:tcPr>
            <w:tcW w:type="dxa" w:w="4320"/>
          </w:tcPr>
          <w:p>
            <w:r>
              <w:t>□</w:t>
            </w:r>
          </w:p>
        </w:tc>
        <w:tc>
          <w:tcPr>
            <w:tcW w:type="dxa" w:w="4320"/>
          </w:tcPr>
          <w:p>
            <w:r>
              <w:t>買い物でお金の計算に時間がかかる</w:t>
            </w:r>
          </w:p>
        </w:tc>
      </w:tr>
      <w:tr>
        <w:tc>
          <w:tcPr>
            <w:tcW w:type="dxa" w:w="4320"/>
          </w:tcPr>
          <w:p>
            <w:r>
              <w:t>□</w:t>
            </w:r>
          </w:p>
        </w:tc>
        <w:tc>
          <w:tcPr>
            <w:tcW w:type="dxa" w:w="4320"/>
          </w:tcPr>
          <w:p>
            <w:r>
              <w:t>知っている道で迷うことがある</w:t>
            </w:r>
          </w:p>
        </w:tc>
      </w:tr>
      <w:tr>
        <w:tc>
          <w:tcPr>
            <w:tcW w:type="dxa" w:w="4320"/>
          </w:tcPr>
          <w:p>
            <w:r>
              <w:t>□</w:t>
            </w:r>
          </w:p>
        </w:tc>
        <w:tc>
          <w:tcPr>
            <w:tcW w:type="dxa" w:w="4320"/>
          </w:tcPr>
          <w:p>
            <w:r>
              <w:t>新しいことを覚えるのが極端に苦手になった</w:t>
            </w:r>
          </w:p>
        </w:tc>
      </w:tr>
      <w:tr>
        <w:tc>
          <w:tcPr>
            <w:tcW w:type="dxa" w:w="4320"/>
          </w:tcPr>
          <w:p>
            <w:r>
              <w:t>□</w:t>
            </w:r>
          </w:p>
        </w:tc>
        <w:tc>
          <w:tcPr>
            <w:tcW w:type="dxa" w:w="4320"/>
          </w:tcPr>
          <w:p>
            <w:r>
              <w:t>説明を聞いても理解するのに時間がかかる</w:t>
            </w:r>
          </w:p>
        </w:tc>
      </w:tr>
      <w:tr>
        <w:tc>
          <w:tcPr>
            <w:tcW w:type="dxa" w:w="4320"/>
          </w:tcPr>
          <w:p/>
        </w:tc>
        <w:tc>
          <w:tcPr>
            <w:tcW w:type="dxa" w:w="4320"/>
          </w:tcPr>
          <w:p/>
        </w:tc>
      </w:tr>
    </w:tbl>
    <w:p>
      <w:pPr>
        <w:pStyle w:val="Heading2"/>
      </w:pPr>
      <w:r>
        <w:t>（3）生活習慣や行動の変化</w:t>
      </w:r>
    </w:p>
    <w:tbl>
      <w:tblPr>
        <w:tblStyle w:val="TableGrid"/>
        <w:tblW w:type="auto" w:w="0"/>
        <w:tblLook w:firstColumn="1" w:firstRow="1" w:lastColumn="0" w:lastRow="0" w:noHBand="0" w:noVBand="1" w:val="04A0"/>
      </w:tblPr>
      <w:tblGrid>
        <w:gridCol w:w="4320"/>
        <w:gridCol w:w="4320"/>
      </w:tblGrid>
      <w:tr>
        <w:tc>
          <w:tcPr>
            <w:tcW w:type="dxa" w:w="4320"/>
          </w:tcPr>
          <w:p>
            <w:r>
              <w:t>□</w:t>
            </w:r>
          </w:p>
        </w:tc>
        <w:tc>
          <w:tcPr>
            <w:tcW w:type="dxa" w:w="4320"/>
          </w:tcPr>
          <w:p>
            <w:r>
              <w:t>洗濯や料理など家事の手順を間違える</w:t>
            </w:r>
          </w:p>
        </w:tc>
      </w:tr>
      <w:tr>
        <w:tc>
          <w:tcPr>
            <w:tcW w:type="dxa" w:w="4320"/>
          </w:tcPr>
          <w:p>
            <w:r>
              <w:t>□</w:t>
            </w:r>
          </w:p>
        </w:tc>
        <w:tc>
          <w:tcPr>
            <w:tcW w:type="dxa" w:w="4320"/>
          </w:tcPr>
          <w:p>
            <w:r>
              <w:t>身だしなみを気にしなくなる</w:t>
            </w:r>
          </w:p>
        </w:tc>
      </w:tr>
      <w:tr>
        <w:tc>
          <w:tcPr>
            <w:tcW w:type="dxa" w:w="4320"/>
          </w:tcPr>
          <w:p>
            <w:r>
              <w:t>□</w:t>
            </w:r>
          </w:p>
        </w:tc>
        <w:tc>
          <w:tcPr>
            <w:tcW w:type="dxa" w:w="4320"/>
          </w:tcPr>
          <w:p>
            <w:r>
              <w:t>趣味や好きだったことへの関心が薄れる</w:t>
            </w:r>
          </w:p>
        </w:tc>
      </w:tr>
      <w:tr>
        <w:tc>
          <w:tcPr>
            <w:tcW w:type="dxa" w:w="4320"/>
          </w:tcPr>
          <w:p>
            <w:r>
              <w:t>□</w:t>
            </w:r>
          </w:p>
        </w:tc>
        <w:tc>
          <w:tcPr>
            <w:tcW w:type="dxa" w:w="4320"/>
          </w:tcPr>
          <w:p>
            <w:r>
              <w:t>テレビや新聞の内容を理解できなくなる</w:t>
            </w:r>
          </w:p>
        </w:tc>
      </w:tr>
      <w:tr>
        <w:tc>
          <w:tcPr>
            <w:tcW w:type="dxa" w:w="4320"/>
          </w:tcPr>
          <w:p/>
        </w:tc>
        <w:tc>
          <w:tcPr>
            <w:tcW w:type="dxa" w:w="4320"/>
          </w:tcPr>
          <w:p/>
        </w:tc>
      </w:tr>
    </w:tbl>
    <w:p>
      <w:pPr>
        <w:pStyle w:val="Heading2"/>
      </w:pPr>
      <w:r>
        <w:t>（4）気持ちや性格の変化</w:t>
      </w:r>
    </w:p>
    <w:tbl>
      <w:tblPr>
        <w:tblStyle w:val="TableGrid"/>
        <w:tblW w:type="auto" w:w="0"/>
        <w:tblLook w:firstColumn="1" w:firstRow="1" w:lastColumn="0" w:lastRow="0" w:noHBand="0" w:noVBand="1" w:val="04A0"/>
      </w:tblPr>
      <w:tblGrid>
        <w:gridCol w:w="4320"/>
        <w:gridCol w:w="4320"/>
      </w:tblGrid>
      <w:tr>
        <w:tc>
          <w:tcPr>
            <w:tcW w:type="dxa" w:w="4320"/>
          </w:tcPr>
          <w:p>
            <w:r>
              <w:t>□</w:t>
            </w:r>
          </w:p>
        </w:tc>
        <w:tc>
          <w:tcPr>
            <w:tcW w:type="dxa" w:w="4320"/>
          </w:tcPr>
          <w:p>
            <w:r>
              <w:t>些細なことで怒りっぽくなる</w:t>
            </w:r>
          </w:p>
        </w:tc>
      </w:tr>
      <w:tr>
        <w:tc>
          <w:tcPr>
            <w:tcW w:type="dxa" w:w="4320"/>
          </w:tcPr>
          <w:p>
            <w:r>
              <w:t>□</w:t>
            </w:r>
          </w:p>
        </w:tc>
        <w:tc>
          <w:tcPr>
            <w:tcW w:type="dxa" w:w="4320"/>
          </w:tcPr>
          <w:p>
            <w:r>
              <w:t>意欲がなく、家に閉じこもりがちになる</w:t>
            </w:r>
          </w:p>
        </w:tc>
      </w:tr>
      <w:tr>
        <w:tc>
          <w:tcPr>
            <w:tcW w:type="dxa" w:w="4320"/>
          </w:tcPr>
          <w:p>
            <w:r>
              <w:t>□</w:t>
            </w:r>
          </w:p>
        </w:tc>
        <w:tc>
          <w:tcPr>
            <w:tcW w:type="dxa" w:w="4320"/>
          </w:tcPr>
          <w:p>
            <w:r>
              <w:t>疑い深くなり、家族に対して不信感を持つ</w:t>
            </w:r>
          </w:p>
        </w:tc>
      </w:tr>
      <w:tr>
        <w:tc>
          <w:tcPr>
            <w:tcW w:type="dxa" w:w="4320"/>
          </w:tcPr>
          <w:p>
            <w:r>
              <w:t>□</w:t>
            </w:r>
          </w:p>
        </w:tc>
        <w:tc>
          <w:tcPr>
            <w:tcW w:type="dxa" w:w="4320"/>
          </w:tcPr>
          <w:p>
            <w:r>
              <w:t>不安や落ち込みが強くなる</w:t>
            </w:r>
          </w:p>
        </w:tc>
      </w:tr>
      <w:tr>
        <w:tc>
          <w:tcPr>
            <w:tcW w:type="dxa" w:w="4320"/>
          </w:tcPr>
          <w:p/>
        </w:tc>
        <w:tc>
          <w:tcPr>
            <w:tcW w:type="dxa" w:w="4320"/>
          </w:tcPr>
          <w:p/>
        </w:tc>
      </w:tr>
    </w:tbl>
    <w:p>
      <w:pPr>
        <w:pStyle w:val="Heading1"/>
      </w:pPr>
      <w:r>
        <w:t>3. 使用上の注意</w:t>
      </w:r>
    </w:p>
    <w:p>
      <w:r>
        <w:t>・このチェックリストは診断ではなく「気づき」のためのものです。</w:t>
        <w:br/>
        <w:t>・3つ以上当てはまる項目がある場合は、医師や地域包括支援センターに相談してください。</w:t>
        <w:br/>
        <w:t>・一度のチェックで判断せず、日常の変化を継続的に記録することが大切です。</w:t>
      </w:r>
    </w:p>
    <w:p>
      <w:pPr>
        <w:pStyle w:val="Heading1"/>
      </w:pPr>
      <w:r>
        <w:t>出典</w:t>
      </w:r>
    </w:p>
    <w:p>
      <w:r>
        <w:t>・厚生労働省「認知症施策推進総合戦略（新オレンジプラン）」</w:t>
        <w:br/>
        <w:t>・公益社団法人 認知症の人と家族の会</w:t>
        <w:br/>
        <w:t>・日本認知症学会「認知症の診断・治療・ケアに関するガイドライン」</w:t>
        <w:br/>
        <w:t>・東京都福祉保健局「認知症セルフチェックリスト」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